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158F" w:rsidRDefault="0031158F" w:rsidP="0031158F">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807C0F">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10795" t="6350" r="8255" b="1397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85B15"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12065" t="8890" r="6985" b="952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593B"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807C0F">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9050" r="16510" b="19685"/>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E4189"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807C0F">
      <w:pPr>
        <w:pStyle w:val="af5"/>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5240" r="13335" b="7620"/>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C651C"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807C0F">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1430" r="3810" b="1270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FBC99"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807C0F">
      <w:pPr>
        <w:pStyle w:val="af5"/>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10795" r="13970" b="1460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8EFF50"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807C0F">
      <w:pPr>
        <w:pStyle w:val="af5"/>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A8092"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lastRenderedPageBreak/>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 xml:space="preserve">Легко ли всегда быть честным. Анализ ситуаций, когда не нужно </w:t>
      </w:r>
      <w:r>
        <w:rPr>
          <w:rFonts w:ascii="Times New Roman" w:hAnsi="Times New Roman"/>
          <w:sz w:val="28"/>
          <w:szCs w:val="28"/>
        </w:rPr>
        <w:lastRenderedPageBreak/>
        <w:t>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lastRenderedPageBreak/>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lastRenderedPageBreak/>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lastRenderedPageBreak/>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требованиями </w:t>
      </w:r>
      <w:r>
        <w:rPr>
          <w:sz w:val="28"/>
          <w:szCs w:val="28"/>
        </w:rPr>
        <w:lastRenderedPageBreak/>
        <w:t>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 xml:space="preserve">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w:t>
      </w:r>
      <w:r>
        <w:rPr>
          <w:rFonts w:ascii="Times New Roman" w:hAnsi="Times New Roman" w:cs="Times New Roman"/>
          <w:color w:val="000000"/>
          <w:sz w:val="28"/>
          <w:szCs w:val="28"/>
        </w:rPr>
        <w:lastRenderedPageBreak/>
        <w:t>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lastRenderedPageBreak/>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lastRenderedPageBreak/>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w:t>
      </w:r>
      <w:r>
        <w:rPr>
          <w:rFonts w:ascii="Times New Roman" w:hAnsi="Times New Roman" w:cs="Times New Roman"/>
          <w:color w:val="auto"/>
          <w:sz w:val="28"/>
          <w:szCs w:val="28"/>
        </w:rPr>
        <w:lastRenderedPageBreak/>
        <w:t xml:space="preserve">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аморальным поступкам, грубости, оскорбительным словам и действиям, в том числе в содержании </w:t>
      </w:r>
      <w:r>
        <w:rPr>
          <w:rFonts w:ascii="Times New Roman" w:hAnsi="Times New Roman" w:cs="Times New Roman"/>
          <w:color w:val="auto"/>
          <w:sz w:val="28"/>
          <w:szCs w:val="28"/>
        </w:rPr>
        <w:lastRenderedPageBreak/>
        <w:t>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w:t>
      </w:r>
      <w:r>
        <w:rPr>
          <w:rFonts w:ascii="Times New Roman" w:hAnsi="Times New Roman" w:cs="Times New Roman"/>
          <w:color w:val="auto"/>
          <w:sz w:val="28"/>
          <w:szCs w:val="28"/>
        </w:rPr>
        <w:lastRenderedPageBreak/>
        <w:t xml:space="preserve">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lastRenderedPageBreak/>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w:t>
      </w:r>
      <w:r>
        <w:rPr>
          <w:rFonts w:ascii="Times New Roman" w:hAnsi="Times New Roman" w:cs="Times New Roman"/>
          <w:color w:val="auto"/>
          <w:sz w:val="28"/>
          <w:szCs w:val="28"/>
        </w:rPr>
        <w:lastRenderedPageBreak/>
        <w:t>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w:t>
      </w:r>
      <w:r>
        <w:rPr>
          <w:rFonts w:ascii="Times New Roman" w:hAnsi="Times New Roman" w:cs="Times New Roman"/>
          <w:color w:val="auto"/>
          <w:sz w:val="28"/>
          <w:szCs w:val="28"/>
        </w:rPr>
        <w:lastRenderedPageBreak/>
        <w:t>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lastRenderedPageBreak/>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w:t>
      </w:r>
      <w:r>
        <w:rPr>
          <w:rFonts w:ascii="Times New Roman" w:hAnsi="Times New Roman" w:cs="Times New Roman"/>
          <w:color w:val="auto"/>
          <w:sz w:val="28"/>
          <w:szCs w:val="28"/>
        </w:rPr>
        <w:lastRenderedPageBreak/>
        <w:t xml:space="preserve">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w:t>
      </w:r>
      <w:r>
        <w:rPr>
          <w:rFonts w:ascii="Times New Roman" w:hAnsi="Times New Roman" w:cs="Times New Roman"/>
          <w:color w:val="000000"/>
          <w:sz w:val="28"/>
          <w:szCs w:val="28"/>
        </w:rPr>
        <w:lastRenderedPageBreak/>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w:t>
      </w:r>
      <w:r>
        <w:rPr>
          <w:rStyle w:val="12"/>
          <w:i w:val="0"/>
          <w:caps w:val="0"/>
          <w:sz w:val="28"/>
          <w:szCs w:val="28"/>
        </w:rPr>
        <w:lastRenderedPageBreak/>
        <w:t>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lastRenderedPageBreak/>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lastRenderedPageBreak/>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w:t>
      </w:r>
      <w:r>
        <w:rPr>
          <w:rFonts w:ascii="Times New Roman" w:hAnsi="Times New Roman" w:cs="Times New Roman"/>
          <w:sz w:val="28"/>
          <w:szCs w:val="28"/>
        </w:rPr>
        <w:lastRenderedPageBreak/>
        <w:t>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щий взаимодействие специалистов психолого-педагогического и </w:t>
      </w:r>
      <w:r>
        <w:rPr>
          <w:rFonts w:ascii="Times New Roman" w:hAnsi="Times New Roman" w:cs="Times New Roman"/>
          <w:sz w:val="28"/>
          <w:szCs w:val="28"/>
        </w:rPr>
        <w:lastRenderedPageBreak/>
        <w:t>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lastRenderedPageBreak/>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 xml:space="preserve">лидарность, гражданственность, семья, здоровье, труд и </w:t>
      </w:r>
      <w:r>
        <w:rPr>
          <w:rFonts w:ascii="Times New Roman" w:hAnsi="Times New Roman" w:cs="Times New Roman"/>
          <w:sz w:val="28"/>
          <w:szCs w:val="28"/>
        </w:rPr>
        <w:lastRenderedPageBreak/>
        <w:t>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w:t>
      </w:r>
      <w:r>
        <w:rPr>
          <w:rFonts w:ascii="Times New Roman" w:hAnsi="Times New Roman"/>
          <w:sz w:val="28"/>
          <w:szCs w:val="28"/>
        </w:rPr>
        <w:lastRenderedPageBreak/>
        <w:t xml:space="preserve">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lastRenderedPageBreak/>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обучающихся могут быть сформированы коммуникативная, </w:t>
      </w:r>
      <w:r>
        <w:rPr>
          <w:rFonts w:ascii="Times New Roman" w:hAnsi="Times New Roman" w:cs="Times New Roman"/>
          <w:sz w:val="28"/>
          <w:szCs w:val="28"/>
        </w:rPr>
        <w:lastRenderedPageBreak/>
        <w:t>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торной нагрузки </w:t>
      </w:r>
      <w:r>
        <w:rPr>
          <w:rFonts w:ascii="Times New Roman" w:hAnsi="Times New Roman" w:cs="Times New Roman"/>
          <w:color w:val="auto"/>
          <w:sz w:val="28"/>
          <w:szCs w:val="28"/>
        </w:rPr>
        <w:lastRenderedPageBreak/>
        <w:t>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862"/>
      </w:tblGrid>
      <w:tr w:rsidR="005B5BE4">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8C300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8C300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8C3006">
        <w:trPr>
          <w:trHeight w:hRule="exact" w:val="907"/>
        </w:trPr>
        <w:tc>
          <w:tcPr>
            <w:tcW w:w="9193" w:type="dxa"/>
            <w:gridSpan w:val="12"/>
            <w:tcBorders>
              <w:top w:val="single" w:sz="4" w:space="0" w:color="auto"/>
              <w:bottom w:val="single" w:sz="4" w:space="0" w:color="auto"/>
            </w:tcBorders>
          </w:tcPr>
          <w:p w:rsidR="008C3006" w:rsidRPr="008C3006" w:rsidRDefault="008C3006" w:rsidP="008C3006">
            <w:pPr>
              <w:pStyle w:val="afe"/>
            </w:pPr>
          </w:p>
        </w:tc>
      </w:tr>
      <w:tr w:rsidR="005B5BE4" w:rsidTr="008C3006">
        <w:trPr>
          <w:trHeight w:hRule="exact" w:val="907"/>
        </w:trPr>
        <w:tc>
          <w:tcPr>
            <w:tcW w:w="9193"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8C300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            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Pr="0090169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709"/>
        <w:gridCol w:w="567"/>
        <w:gridCol w:w="142"/>
        <w:gridCol w:w="850"/>
        <w:gridCol w:w="10"/>
      </w:tblGrid>
      <w:tr w:rsidR="005B5BE4">
        <w:tc>
          <w:tcPr>
            <w:tcW w:w="9200"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850"/>
        <w:gridCol w:w="10"/>
      </w:tblGrid>
      <w:tr w:rsidR="005B5BE4">
        <w:tc>
          <w:tcPr>
            <w:tcW w:w="9342" w:type="dxa"/>
            <w:gridSpan w:val="10"/>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Pr>
                <w:rFonts w:ascii="Times New Roman" w:hAnsi="Times New Roman" w:cs="Times New Roman"/>
                <w:color w:val="auto"/>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36"/>
        <w:gridCol w:w="1961"/>
        <w:gridCol w:w="4111"/>
        <w:gridCol w:w="850"/>
        <w:gridCol w:w="142"/>
        <w:gridCol w:w="709"/>
        <w:gridCol w:w="850"/>
        <w:gridCol w:w="861"/>
      </w:tblGrid>
      <w:tr w:rsidR="005B5BE4">
        <w:tc>
          <w:tcPr>
            <w:tcW w:w="24" w:type="dxa"/>
          </w:tcPr>
          <w:p w:rsidR="005B5BE4" w:rsidRDefault="005B5BE4">
            <w:pPr>
              <w:pStyle w:val="afff5"/>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4"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4"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c>
          <w:tcPr>
            <w:tcW w:w="6096"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trPr>
          <w:trHeight w:val="983"/>
        </w:trPr>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trPr>
          <w:trHeight w:val="584"/>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w:t>
            </w:r>
            <w:r>
              <w:rPr>
                <w:rFonts w:ascii="Times New Roman" w:hAnsi="Times New Roman" w:cs="Times New Roman"/>
                <w:b/>
                <w:i/>
                <w:iCs/>
                <w:color w:val="auto"/>
                <w:sz w:val="28"/>
                <w:szCs w:val="28"/>
              </w:rPr>
              <w:softHyphen/>
              <w:t>с</w:t>
            </w:r>
            <w:r>
              <w:rPr>
                <w:rFonts w:ascii="Times New Roman" w:hAnsi="Times New Roman" w:cs="Times New Roman"/>
                <w:b/>
                <w:i/>
                <w:iCs/>
                <w:color w:val="auto"/>
                <w:sz w:val="28"/>
                <w:szCs w:val="28"/>
              </w:rPr>
              <w:softHyphen/>
              <w:t>т</w:t>
            </w:r>
            <w:r>
              <w:rPr>
                <w:rFonts w:ascii="Times New Roman" w:hAnsi="Times New Roman" w:cs="Times New Roman"/>
                <w:b/>
                <w:i/>
                <w:iCs/>
                <w:color w:val="auto"/>
                <w:sz w:val="28"/>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trPr>
          <w:trHeight w:val="557"/>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trPr>
          <w:trHeight w:val="406"/>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w:t>
            </w:r>
            <w:r>
              <w:rPr>
                <w:rFonts w:ascii="Times New Roman" w:hAnsi="Times New Roman" w:cs="Times New Roman"/>
                <w:b/>
                <w:sz w:val="28"/>
                <w:szCs w:val="28"/>
              </w:rPr>
              <w:softHyphen/>
              <w:t>ви</w:t>
            </w:r>
            <w:r>
              <w:rPr>
                <w:rFonts w:ascii="Times New Roman" w:hAnsi="Times New Roman" w:cs="Times New Roman"/>
                <w:b/>
                <w:sz w:val="28"/>
                <w:szCs w:val="28"/>
              </w:rPr>
              <w:softHyphen/>
              <w:t>ва</w:t>
            </w:r>
            <w:r>
              <w:rPr>
                <w:rFonts w:ascii="Times New Roman" w:hAnsi="Times New Roman" w:cs="Times New Roman"/>
                <w:b/>
                <w:sz w:val="28"/>
                <w:szCs w:val="28"/>
              </w:rPr>
              <w:softHyphen/>
              <w:t>ю</w:t>
            </w:r>
            <w:r>
              <w:rPr>
                <w:rFonts w:ascii="Times New Roman" w:hAnsi="Times New Roman" w:cs="Times New Roman"/>
                <w:b/>
                <w:sz w:val="28"/>
                <w:szCs w:val="28"/>
              </w:rPr>
              <w:softHyphen/>
              <w:t>щая область (ко</w:t>
            </w:r>
            <w:r>
              <w:rPr>
                <w:rFonts w:ascii="Times New Roman" w:hAnsi="Times New Roman" w:cs="Times New Roman"/>
                <w:b/>
                <w:sz w:val="28"/>
                <w:szCs w:val="28"/>
              </w:rPr>
              <w:softHyphen/>
              <w:t>р</w:t>
            </w:r>
            <w:r>
              <w:rPr>
                <w:rFonts w:ascii="Times New Roman" w:hAnsi="Times New Roman" w:cs="Times New Roman"/>
                <w:b/>
                <w:sz w:val="28"/>
                <w:szCs w:val="28"/>
              </w:rPr>
              <w:softHyphen/>
              <w:t>ре</w:t>
            </w:r>
            <w:r>
              <w:rPr>
                <w:rFonts w:ascii="Times New Roman" w:hAnsi="Times New Roman" w:cs="Times New Roman"/>
                <w:b/>
                <w:sz w:val="28"/>
                <w:szCs w:val="28"/>
              </w:rPr>
              <w:softHyphen/>
              <w:t>к</w:t>
            </w:r>
            <w:r>
              <w:rPr>
                <w:rFonts w:ascii="Times New Roman" w:hAnsi="Times New Roman" w:cs="Times New Roman"/>
                <w:b/>
                <w:sz w:val="28"/>
                <w:szCs w:val="28"/>
              </w:rPr>
              <w:softHyphen/>
              <w:t>ци</w:t>
            </w:r>
            <w:r>
              <w:rPr>
                <w:rFonts w:ascii="Times New Roman" w:hAnsi="Times New Roman" w:cs="Times New Roman"/>
                <w:b/>
                <w:sz w:val="28"/>
                <w:szCs w:val="28"/>
              </w:rPr>
              <w:softHyphen/>
              <w:t>он</w:t>
            </w:r>
            <w:r>
              <w:rPr>
                <w:rFonts w:ascii="Times New Roman" w:hAnsi="Times New Roman" w:cs="Times New Roman"/>
                <w:b/>
                <w:sz w:val="28"/>
                <w:szCs w:val="28"/>
              </w:rPr>
              <w:softHyphen/>
              <w:t>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w:t>
      </w:r>
      <w:r>
        <w:rPr>
          <w:rFonts w:ascii="Times New Roman" w:hAnsi="Times New Roman" w:cs="Times New Roman"/>
          <w:color w:val="auto"/>
          <w:sz w:val="28"/>
          <w:szCs w:val="28"/>
        </w:rPr>
        <w:lastRenderedPageBreak/>
        <w:t>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lastRenderedPageBreak/>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r>
      <w:r>
        <w:rPr>
          <w:rFonts w:ascii="Times New Roman" w:hAnsi="Times New Roman" w:cs="Times New Roman"/>
          <w:sz w:val="28"/>
          <w:szCs w:val="28"/>
        </w:rPr>
        <w:lastRenderedPageBreak/>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w:t>
      </w:r>
      <w:r>
        <w:rPr>
          <w:sz w:val="28"/>
          <w:szCs w:val="28"/>
        </w:rPr>
        <w:lastRenderedPageBreak/>
        <w:t>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ний состоит в том, что все вовлечённые в </w:t>
      </w:r>
      <w:r>
        <w:rPr>
          <w:rFonts w:ascii="Times New Roman" w:hAnsi="Times New Roman" w:cs="Times New Roman"/>
          <w:color w:val="auto"/>
          <w:sz w:val="28"/>
          <w:szCs w:val="28"/>
        </w:rPr>
        <w:lastRenderedPageBreak/>
        <w:t>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lastRenderedPageBreak/>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w:t>
      </w:r>
      <w:r w:rsidR="00BC1A8E" w:rsidRPr="00796C10">
        <w:rPr>
          <w:rFonts w:ascii="Times New Roman" w:hAnsi="Times New Roman"/>
          <w:sz w:val="28"/>
          <w:szCs w:val="28"/>
        </w:rPr>
        <w:lastRenderedPageBreak/>
        <w:t>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w:t>
      </w:r>
      <w:r>
        <w:rPr>
          <w:rFonts w:ascii="Times New Roman" w:hAnsi="Times New Roman"/>
          <w:sz w:val="28"/>
          <w:szCs w:val="28"/>
        </w:rPr>
        <w:lastRenderedPageBreak/>
        <w:t xml:space="preserve">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w:t>
      </w:r>
      <w:r w:rsidRPr="00317985">
        <w:rPr>
          <w:rFonts w:ascii="Times New Roman" w:hAnsi="Times New Roman"/>
          <w:sz w:val="28"/>
          <w:szCs w:val="28"/>
          <w:lang w:eastAsia="ru-RU"/>
        </w:rPr>
        <w:lastRenderedPageBreak/>
        <w:t xml:space="preserve">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близковозрастных классах </w:t>
      </w:r>
      <w:r w:rsidRPr="009C6E30">
        <w:rPr>
          <w:rFonts w:ascii="Times New Roman" w:hAnsi="Times New Roman"/>
          <w:sz w:val="28"/>
          <w:szCs w:val="28"/>
        </w:rPr>
        <w:lastRenderedPageBreak/>
        <w:t>(группах)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 xml:space="preserve">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317985">
        <w:rPr>
          <w:rFonts w:ascii="Times New Roman" w:hAnsi="Times New Roman"/>
          <w:sz w:val="28"/>
          <w:szCs w:val="28"/>
        </w:rPr>
        <w:lastRenderedPageBreak/>
        <w:t xml:space="preserve">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w:t>
      </w:r>
      <w:r>
        <w:rPr>
          <w:rFonts w:ascii="Times New Roman" w:hAnsi="Times New Roman"/>
          <w:bCs/>
          <w:kern w:val="2"/>
          <w:sz w:val="28"/>
          <w:szCs w:val="28"/>
        </w:rPr>
        <w:lastRenderedPageBreak/>
        <w:t xml:space="preserve">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 xml:space="preserve">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 xml:space="preserve">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317985">
        <w:rPr>
          <w:rFonts w:ascii="Times New Roman" w:hAnsi="Times New Roman"/>
          <w:sz w:val="28"/>
          <w:szCs w:val="28"/>
        </w:rPr>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w:t>
      </w:r>
      <w:r w:rsidRPr="006450B9">
        <w:rPr>
          <w:szCs w:val="28"/>
        </w:rPr>
        <w:lastRenderedPageBreak/>
        <w:t xml:space="preserve">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w:t>
      </w:r>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 xml:space="preserve">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 xml:space="preserve">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w:t>
      </w:r>
      <w:r w:rsidRPr="0076472D">
        <w:rPr>
          <w:rFonts w:ascii="Times New Roman" w:hAnsi="Times New Roman"/>
          <w:sz w:val="28"/>
          <w:szCs w:val="28"/>
        </w:rPr>
        <w:lastRenderedPageBreak/>
        <w:t xml:space="preserve">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lastRenderedPageBreak/>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lastRenderedPageBreak/>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lastRenderedPageBreak/>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w:t>
      </w:r>
      <w:r w:rsidR="00963D9B" w:rsidRPr="00893A15">
        <w:rPr>
          <w:rFonts w:ascii="Times New Roman" w:hAnsi="Times New Roman"/>
          <w:sz w:val="28"/>
          <w:szCs w:val="28"/>
        </w:rPr>
        <w:lastRenderedPageBreak/>
        <w:t>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 xml:space="preserve">Продолжительность коррекционного </w:t>
      </w:r>
      <w:r w:rsidRPr="005811CE">
        <w:rPr>
          <w:rFonts w:ascii="Times New Roman" w:hAnsi="Times New Roman"/>
          <w:sz w:val="28"/>
          <w:szCs w:val="28"/>
        </w:rPr>
        <w:lastRenderedPageBreak/>
        <w:t>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w:t>
      </w:r>
      <w:r>
        <w:rPr>
          <w:rFonts w:ascii="Times New Roman" w:hAnsi="Times New Roman"/>
          <w:sz w:val="28"/>
          <w:szCs w:val="28"/>
        </w:rPr>
        <w:lastRenderedPageBreak/>
        <w:t xml:space="preserve">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w:t>
      </w:r>
      <w:r w:rsidRPr="00317985">
        <w:rPr>
          <w:rFonts w:ascii="Times New Roman" w:hAnsi="Times New Roman"/>
          <w:sz w:val="28"/>
          <w:szCs w:val="28"/>
        </w:rPr>
        <w:lastRenderedPageBreak/>
        <w:t>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lastRenderedPageBreak/>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lastRenderedPageBreak/>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w:t>
      </w:r>
      <w:r w:rsidRPr="00317985">
        <w:rPr>
          <w:rFonts w:ascii="Times New Roman" w:hAnsi="Times New Roman"/>
          <w:bCs/>
          <w:sz w:val="28"/>
          <w:szCs w:val="28"/>
        </w:rPr>
        <w:lastRenderedPageBreak/>
        <w:t>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w:t>
      </w:r>
      <w:r w:rsidRPr="00317985">
        <w:rPr>
          <w:rFonts w:ascii="Times New Roman" w:hAnsi="Times New Roman"/>
          <w:sz w:val="28"/>
          <w:szCs w:val="28"/>
        </w:rPr>
        <w:lastRenderedPageBreak/>
        <w:t xml:space="preserve">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 xml:space="preserve">обучающихся с умеренной, тяжелой и глубокой умственной отсталостью (интеллектуальными нарушениями), тяжелыми и </w:t>
      </w:r>
      <w:r w:rsidRPr="002A5BC7">
        <w:rPr>
          <w:rFonts w:ascii="Times New Roman" w:hAnsi="Times New Roman"/>
          <w:b/>
          <w:sz w:val="28"/>
          <w:szCs w:val="28"/>
        </w:rPr>
        <w:lastRenderedPageBreak/>
        <w:t>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 xml:space="preserve">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w:t>
      </w:r>
      <w:r w:rsidRPr="00317985">
        <w:rPr>
          <w:rFonts w:ascii="Times New Roman" w:hAnsi="Times New Roman"/>
          <w:sz w:val="28"/>
          <w:szCs w:val="28"/>
        </w:rPr>
        <w:lastRenderedPageBreak/>
        <w:t>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w:t>
      </w:r>
      <w:r w:rsidRPr="00317985">
        <w:rPr>
          <w:rFonts w:ascii="Times New Roman" w:hAnsi="Times New Roman"/>
          <w:sz w:val="28"/>
          <w:szCs w:val="28"/>
        </w:rPr>
        <w:lastRenderedPageBreak/>
        <w:t>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 xml:space="preserve">техническому обеспечению должны быть ориентированы не только на обучающихся, но и на всех участников процесса </w:t>
      </w:r>
      <w:r w:rsidRPr="00317985">
        <w:rPr>
          <w:rFonts w:ascii="Times New Roman" w:hAnsi="Times New Roman"/>
          <w:sz w:val="28"/>
          <w:szCs w:val="28"/>
        </w:rPr>
        <w:lastRenderedPageBreak/>
        <w:t>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9B" w:rsidRDefault="0000539B">
      <w:pPr>
        <w:spacing w:after="0" w:line="240" w:lineRule="auto"/>
      </w:pPr>
      <w:r>
        <w:separator/>
      </w:r>
    </w:p>
  </w:endnote>
  <w:endnote w:type="continuationSeparator" w:id="0">
    <w:p w:rsidR="0000539B" w:rsidRDefault="0000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D9B" w:rsidRDefault="00403AD6">
    <w:pPr>
      <w:pStyle w:val="affb"/>
      <w:jc w:val="center"/>
    </w:pPr>
    <w:r>
      <w:rPr>
        <w:sz w:val="24"/>
        <w:szCs w:val="24"/>
      </w:rPr>
      <w:fldChar w:fldCharType="begin"/>
    </w:r>
    <w:r w:rsidR="00963D9B">
      <w:rPr>
        <w:sz w:val="24"/>
        <w:szCs w:val="24"/>
      </w:rPr>
      <w:instrText xml:space="preserve"> PAGE </w:instrText>
    </w:r>
    <w:r>
      <w:rPr>
        <w:sz w:val="24"/>
        <w:szCs w:val="24"/>
      </w:rPr>
      <w:fldChar w:fldCharType="separate"/>
    </w:r>
    <w:r w:rsidR="00807C0F">
      <w:rPr>
        <w:noProof/>
        <w:sz w:val="24"/>
        <w:szCs w:val="24"/>
      </w:rPr>
      <w:t>20</w:t>
    </w:r>
    <w:r>
      <w:rPr>
        <w:sz w:val="24"/>
        <w:szCs w:val="24"/>
      </w:rPr>
      <w:fldChar w:fldCharType="end"/>
    </w:r>
  </w:p>
  <w:p w:rsidR="00963D9B" w:rsidRDefault="00963D9B">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9B" w:rsidRDefault="0000539B">
      <w:pPr>
        <w:spacing w:after="0" w:line="240" w:lineRule="auto"/>
      </w:pPr>
      <w:r>
        <w:separator/>
      </w:r>
    </w:p>
  </w:footnote>
  <w:footnote w:type="continuationSeparator" w:id="0">
    <w:p w:rsidR="0000539B" w:rsidRDefault="0000539B">
      <w:pPr>
        <w:spacing w:after="0" w:line="240" w:lineRule="auto"/>
      </w:pPr>
      <w:r>
        <w:continuationSeparator/>
      </w:r>
    </w:p>
  </w:footnote>
  <w:footnote w:id="1">
    <w:p w:rsidR="00403AD6" w:rsidRDefault="00963D9B">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403AD6" w:rsidRDefault="00963D9B">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403AD6" w:rsidRDefault="00963D9B">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03AD6" w:rsidRDefault="00963D9B">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6">
    <w:p w:rsidR="00963D9B" w:rsidRDefault="00963D9B">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03AD6" w:rsidRDefault="00403AD6">
      <w:pPr>
        <w:pStyle w:val="afe"/>
        <w:jc w:val="both"/>
      </w:pPr>
    </w:p>
  </w:footnote>
  <w:footnote w:id="7">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8">
    <w:p w:rsidR="00403AD6" w:rsidRDefault="00963D9B">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403AD6" w:rsidRDefault="00963D9B">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403AD6" w:rsidRDefault="00963D9B"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03AD6" w:rsidRDefault="00963D9B"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963D9B" w:rsidRDefault="00963D9B"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03AD6" w:rsidRDefault="00403AD6" w:rsidP="00BC1A8E">
      <w:pPr>
        <w:pStyle w:val="afc"/>
      </w:pPr>
    </w:p>
  </w:footnote>
  <w:footnote w:id="13">
    <w:p w:rsidR="00963D9B" w:rsidRDefault="00963D9B"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03AD6" w:rsidRDefault="00403AD6"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4ADD"/>
    <w:rsid w:val="0000539B"/>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14B30"/>
    <w:rsid w:val="0011797E"/>
    <w:rsid w:val="001A7CFB"/>
    <w:rsid w:val="001B2946"/>
    <w:rsid w:val="001B6DD6"/>
    <w:rsid w:val="001D2C3B"/>
    <w:rsid w:val="001F26A1"/>
    <w:rsid w:val="00212F13"/>
    <w:rsid w:val="002150B2"/>
    <w:rsid w:val="00233A04"/>
    <w:rsid w:val="00240C78"/>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07C0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901694"/>
    <w:rsid w:val="00902632"/>
    <w:rsid w:val="00912D8C"/>
    <w:rsid w:val="00921F1C"/>
    <w:rsid w:val="0095160D"/>
    <w:rsid w:val="00963D9B"/>
    <w:rsid w:val="00985875"/>
    <w:rsid w:val="00995D5F"/>
    <w:rsid w:val="009A0D46"/>
    <w:rsid w:val="009C5F8A"/>
    <w:rsid w:val="009C6E30"/>
    <w:rsid w:val="009D32D9"/>
    <w:rsid w:val="00A01004"/>
    <w:rsid w:val="00A0312D"/>
    <w:rsid w:val="00A23B27"/>
    <w:rsid w:val="00A5013F"/>
    <w:rsid w:val="00A72E75"/>
    <w:rsid w:val="00A920F2"/>
    <w:rsid w:val="00A93A40"/>
    <w:rsid w:val="00AA4C52"/>
    <w:rsid w:val="00AA6B7D"/>
    <w:rsid w:val="00AB0165"/>
    <w:rsid w:val="00AC645A"/>
    <w:rsid w:val="00AD1550"/>
    <w:rsid w:val="00B022E4"/>
    <w:rsid w:val="00B02BEB"/>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8E35C8-1A92-49B5-B589-EF579FF6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5D7B-341E-4B7A-9492-E428B78C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116524</Words>
  <Characters>664192</Characters>
  <Application>Microsoft Office Word</Application>
  <DocSecurity>0</DocSecurity>
  <Lines>5534</Lines>
  <Paragraphs>1558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3</cp:revision>
  <cp:lastPrinted>2015-10-19T09:35:00Z</cp:lastPrinted>
  <dcterms:created xsi:type="dcterms:W3CDTF">2016-04-22T08:06:00Z</dcterms:created>
  <dcterms:modified xsi:type="dcterms:W3CDTF">2016-04-22T08:07:00Z</dcterms:modified>
</cp:coreProperties>
</file>